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5594-ЕЕ/Д28и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АК-553/06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марта 2015 года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НАПРАВЛЕНИИ МЕТОДИЧЕСКИХ РЕКОМЕНДАЦИЙ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Минэкономразвития России и Минобрнауки России в целях реализации единой государственной политики в области дополнительного профессионального образования специалистов в сфере закупок товаров, работ, услуг для обеспечения государственных и муниципальных нужд, </w:t>
      </w:r>
      <w:hyperlink r:id="rId6" w:history="1">
        <w:r>
          <w:rPr>
            <w:rFonts w:ascii="Calibri" w:hAnsi="Calibri" w:cs="Calibri"/>
            <w:color w:val="0000FF"/>
          </w:rPr>
          <w:t>повышения</w:t>
        </w:r>
      </w:hyperlink>
      <w:r>
        <w:rPr>
          <w:rFonts w:ascii="Calibri" w:hAnsi="Calibri" w:cs="Calibri"/>
        </w:rPr>
        <w:t xml:space="preserve"> уровня квалификации должностных лиц, занятых в сфере закупок, направляет для использования организациями, осуществляющими образовательную деятельность по дополнительным профессиональным программам повышения квалификации в сфере закупок, а также заказчиками при закупке образовательных</w:t>
      </w:r>
      <w:proofErr w:type="gramEnd"/>
      <w:r>
        <w:rPr>
          <w:rFonts w:ascii="Calibri" w:hAnsi="Calibri" w:cs="Calibri"/>
        </w:rPr>
        <w:t xml:space="preserve"> услуг в сфере закупок товаров, работ, услуг для обеспечения государственных и муниципальных нужд </w:t>
      </w:r>
      <w:hyperlink w:anchor="Par31" w:history="1">
        <w:r>
          <w:rPr>
            <w:rFonts w:ascii="Calibri" w:hAnsi="Calibri" w:cs="Calibri"/>
            <w:color w:val="0000FF"/>
          </w:rPr>
          <w:t>Методические рекомендации</w:t>
        </w:r>
      </w:hyperlink>
      <w:r>
        <w:rPr>
          <w:rFonts w:ascii="Calibri" w:hAnsi="Calibri" w:cs="Calibri"/>
        </w:rPr>
        <w:t xml:space="preserve"> по реализации дополнительных профессиональных программ повышения квалификации в сфере закупок (далее - Методические рекомендации).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1" w:history="1">
        <w:r>
          <w:rPr>
            <w:rFonts w:ascii="Calibri" w:hAnsi="Calibri" w:cs="Calibri"/>
            <w:color w:val="0000FF"/>
          </w:rPr>
          <w:t>Методические рекомендации</w:t>
        </w:r>
      </w:hyperlink>
      <w:r>
        <w:rPr>
          <w:rFonts w:ascii="Calibri" w:hAnsi="Calibri" w:cs="Calibri"/>
        </w:rPr>
        <w:t xml:space="preserve"> одобрены Межведомственной рабочей группой Минэкономразвития России и Минобрнауки России по вопросу о формировании системы подготовки и государственной аттестации в сфере закупок.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Просим довести </w:t>
      </w:r>
      <w:hyperlink w:anchor="Par31" w:history="1">
        <w:r>
          <w:rPr>
            <w:rFonts w:ascii="Calibri" w:hAnsi="Calibri" w:cs="Calibri"/>
            <w:color w:val="0000FF"/>
          </w:rPr>
          <w:t>Методические рекомендации</w:t>
        </w:r>
      </w:hyperlink>
      <w:r>
        <w:rPr>
          <w:rFonts w:ascii="Calibri" w:hAnsi="Calibri" w:cs="Calibri"/>
        </w:rPr>
        <w:t xml:space="preserve"> до сведения всех организаций, расположенных на территории субъекта Российской Федерации, которые реализуют дополнительные профессиональные программы.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 образования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А.А.КЛИМОВ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Приложение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1"/>
      <w:bookmarkEnd w:id="2"/>
      <w:r>
        <w:rPr>
          <w:rFonts w:ascii="Calibri" w:hAnsi="Calibri" w:cs="Calibri"/>
        </w:rPr>
        <w:t>МЕТОДИЧЕСКИЕ РЕКОМЕНДАЦИИ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РЕАЛИЗАЦИИ ДОПОЛНИТЕЛЬНЫХ ПРОФЕССИОНАЛЬНЫХ ПРОГРАММ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ПОВЫШЕНИЯ КВАЛИФИКАЦИИ В СФЕРЕ ЗАКУПОК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5"/>
      <w:bookmarkEnd w:id="3"/>
      <w:r>
        <w:rPr>
          <w:rFonts w:ascii="Calibri" w:hAnsi="Calibri" w:cs="Calibri"/>
        </w:rPr>
        <w:t>1. Общие положения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Методические рекомендации по реализации дополнительных профессиональных программ </w:t>
      </w:r>
      <w:hyperlink r:id="rId7" w:history="1">
        <w:r>
          <w:rPr>
            <w:rFonts w:ascii="Calibri" w:hAnsi="Calibri" w:cs="Calibri"/>
            <w:color w:val="0000FF"/>
          </w:rPr>
          <w:t>повышения</w:t>
        </w:r>
      </w:hyperlink>
      <w:r>
        <w:rPr>
          <w:rFonts w:ascii="Calibri" w:hAnsi="Calibri" w:cs="Calibri"/>
        </w:rPr>
        <w:t xml:space="preserve"> квалификации в сфере закупок (далее - Методические рекомендации) </w:t>
      </w:r>
      <w:r>
        <w:rPr>
          <w:rFonts w:ascii="Calibri" w:hAnsi="Calibri" w:cs="Calibri"/>
        </w:rPr>
        <w:lastRenderedPageBreak/>
        <w:t>разработаны в целях реализации единой государственной политики в области дополнительного профессионального образования специалистов в сфере закупок товаров, работ, услуг для обеспечения государственных и муниципальных нужд, повышения уровня квалификации должностных лиц, занятых в сфере закупок.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Методические рекомендации предназначены для использования организациями, осуществляющими образовательную деятельность по дополнительным профессиональным программам повышения квалификации в сфере закупок, а также заказчиками при закупке образовательных услуг в сфере закупок товаров, работ, услуг для обеспечения государственных и муниципальных нужд.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0"/>
      <w:bookmarkEnd w:id="4"/>
      <w:r>
        <w:rPr>
          <w:rFonts w:ascii="Calibri" w:hAnsi="Calibri" w:cs="Calibri"/>
        </w:rPr>
        <w:t xml:space="preserve">2. Общая характеристика </w:t>
      </w:r>
      <w:proofErr w:type="gramStart"/>
      <w:r>
        <w:rPr>
          <w:rFonts w:ascii="Calibri" w:hAnsi="Calibri" w:cs="Calibri"/>
        </w:rPr>
        <w:t>дополнительных</w:t>
      </w:r>
      <w:proofErr w:type="gramEnd"/>
      <w:r>
        <w:rPr>
          <w:rFonts w:ascii="Calibri" w:hAnsi="Calibri" w:cs="Calibri"/>
        </w:rPr>
        <w:t xml:space="preserve"> профессиональных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 повышения квалификации в сфере закупок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Дополнительные профессиональные программы повышения квалификации в сфере закупок (далее - Программы) направлены на реализацию принципа профессионализма заказчика &lt;1&gt;. Программы разрабатывается организациями, осуществляющими образовательную деятельность, в соответствии с законодательством Российской Федерации.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8" w:history="1">
        <w:r>
          <w:rPr>
            <w:rFonts w:ascii="Calibri" w:hAnsi="Calibri" w:cs="Calibri"/>
            <w:color w:val="0000FF"/>
          </w:rPr>
          <w:t>Статья 9</w:t>
        </w:r>
      </w:hyperlink>
      <w:r>
        <w:rPr>
          <w:rFonts w:ascii="Calibri" w:hAnsi="Calibri" w:cs="Calibri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Профессиональной деятельностью лиц, прошедших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>, является выполнение функций специалистов: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заказчика, уполномоченного органа, уполномоченного учреждения, занятых в сфере закупок, в том числе выполняющих функции члена комиссии по осуществлению закупок, работника контрактной службы, контрактного управляющего;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органа по регулированию контрактной системы в сфере закупок, органа, уполномоченного на осуществление контроля в сфере закупок, органа аудита в сфере закупок;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специализированной организации, привлекаемой для выполнения отдельных функций по определению поставщика (подрядчика, исполнителя);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участию в определении поставщиков (подрядчиков, исполнителей);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других видов деятельности в сфере закупок.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Рекомендуется устанавливать минимальный срок освоения Программ вне зависимости от используемых технологий обучения не менее 108 часов, за исключением случаев, установленных </w:t>
      </w:r>
      <w:hyperlink w:anchor="Par54" w:history="1">
        <w:r>
          <w:rPr>
            <w:rFonts w:ascii="Calibri" w:hAnsi="Calibri" w:cs="Calibri"/>
            <w:color w:val="0000FF"/>
          </w:rPr>
          <w:t>пунктом 2.4</w:t>
        </w:r>
      </w:hyperlink>
      <w:r>
        <w:rPr>
          <w:rFonts w:ascii="Calibri" w:hAnsi="Calibri" w:cs="Calibri"/>
        </w:rPr>
        <w:t xml:space="preserve"> настоящих Методических рекомендаций.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4"/>
      <w:bookmarkEnd w:id="5"/>
      <w:r>
        <w:rPr>
          <w:rFonts w:ascii="Calibri" w:hAnsi="Calibri" w:cs="Calibri"/>
        </w:rPr>
        <w:t xml:space="preserve">2.4. В случае реализации Программ в целях обучения руководителей организаций-заказчиков минимальный срок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таким Программам может быть снижен до 40 часов.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2.5.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рекомендуется реализовывать в очной, очно-заочной форме. При реализации Программ в очно-заочной форме рекомендуется устанавливать очную часть обучения в объеме не менее 40 часов аудиторной работы &lt;1&gt;, за исключением случая, установленного </w:t>
      </w:r>
      <w:hyperlink w:anchor="Par54" w:history="1">
        <w:r>
          <w:rPr>
            <w:rFonts w:ascii="Calibri" w:hAnsi="Calibri" w:cs="Calibri"/>
            <w:color w:val="0000FF"/>
          </w:rPr>
          <w:t>пунктом 2.4</w:t>
        </w:r>
      </w:hyperlink>
      <w:r>
        <w:rPr>
          <w:rFonts w:ascii="Calibri" w:hAnsi="Calibri" w:cs="Calibri"/>
        </w:rPr>
        <w:t xml:space="preserve"> настоящих Методических рекомендаций. Для Программ, предусмотренных </w:t>
      </w:r>
      <w:hyperlink w:anchor="Par54" w:history="1">
        <w:r>
          <w:rPr>
            <w:rFonts w:ascii="Calibri" w:hAnsi="Calibri" w:cs="Calibri"/>
            <w:color w:val="0000FF"/>
          </w:rPr>
          <w:t>пунктом 2.4</w:t>
        </w:r>
      </w:hyperlink>
      <w:r>
        <w:rPr>
          <w:rFonts w:ascii="Calibri" w:hAnsi="Calibri" w:cs="Calibri"/>
        </w:rPr>
        <w:t xml:space="preserve"> настоящих Методических рекомендаций, рекомендуется устанавливать очную часть в объеме не менее 16 часов аудиторной работы.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--------------------------------</w:t>
      </w:r>
      <w:proofErr w:type="gramEnd"/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&lt;1&gt; Аудиторная работа - разновидность контактной работы обучающихся с преподавателем, включает в себя занятия лекционного вида, и (или) занятия семинарского вида, и (или) групповые консультации, и (или) индивидуальную работу обучающихся с преподавателем, а также аттестационные испытания промежуточной аттестации обучающихся и итоговой аттестации обучающихся.</w:t>
      </w:r>
      <w:proofErr w:type="gramEnd"/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При реализации Программ могут применяться дистанционные образовательные технологии, электронное обучение.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2.7. В Программы рекомендуется включать лекционные, практические, семинарские занятия, деловые игры, консультации по тематике осуществления закупок для обеспечения </w:t>
      </w:r>
      <w:r>
        <w:rPr>
          <w:rFonts w:ascii="Calibri" w:hAnsi="Calibri" w:cs="Calibri"/>
        </w:rPr>
        <w:lastRenderedPageBreak/>
        <w:t>государственных и муниципальных нужд.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Обучение в сфере закупок рекомендуется проводить по мере необходимости, но не реже, чем каждые три года для всех категорий обучающихся.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При разработке и реализации Программ может применяться модульный принцип представления содержания образования.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2.10. Обучение по Программам рекомендуется </w:t>
      </w:r>
      <w:proofErr w:type="gramStart"/>
      <w:r>
        <w:rPr>
          <w:rFonts w:ascii="Calibri" w:hAnsi="Calibri" w:cs="Calibri"/>
        </w:rPr>
        <w:t>проводить</w:t>
      </w:r>
      <w:proofErr w:type="gramEnd"/>
      <w:r>
        <w:rPr>
          <w:rFonts w:ascii="Calibri" w:hAnsi="Calibri" w:cs="Calibri"/>
        </w:rPr>
        <w:t xml:space="preserve"> применяя современные образовательные методики и технологии.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2.11. Конкретное название программы, наименование и содержание отдельных ее компонентов, формы реализации, планируемые результаты (перечень профессиональных компетенций в сфере закупок), учебный план и календарный учебный график определяются организацией, осуществляющей образовательную деятельность, самостоятельно, с учетом требований, установленных в </w:t>
      </w:r>
      <w:hyperlink w:anchor="Par70" w:history="1">
        <w:r>
          <w:rPr>
            <w:rFonts w:ascii="Calibri" w:hAnsi="Calibri" w:cs="Calibri"/>
            <w:color w:val="0000FF"/>
          </w:rPr>
          <w:t>пунктах 3.3</w:t>
        </w:r>
      </w:hyperlink>
      <w:r>
        <w:rPr>
          <w:rFonts w:ascii="Calibri" w:hAnsi="Calibri" w:cs="Calibri"/>
        </w:rPr>
        <w:t xml:space="preserve"> - </w:t>
      </w:r>
      <w:hyperlink w:anchor="Par234" w:history="1">
        <w:r>
          <w:rPr>
            <w:rFonts w:ascii="Calibri" w:hAnsi="Calibri" w:cs="Calibri"/>
            <w:color w:val="0000FF"/>
          </w:rPr>
          <w:t>3.5</w:t>
        </w:r>
      </w:hyperlink>
      <w:r>
        <w:rPr>
          <w:rFonts w:ascii="Calibri" w:hAnsi="Calibri" w:cs="Calibri"/>
        </w:rPr>
        <w:t xml:space="preserve"> настоящих Методических рекомендаций.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66"/>
      <w:bookmarkEnd w:id="6"/>
      <w:r>
        <w:rPr>
          <w:rFonts w:ascii="Calibri" w:hAnsi="Calibri" w:cs="Calibri"/>
        </w:rPr>
        <w:t>3. Содержание Программ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Программы должны быть направлены на совершенствование и (или) получение новых компетенций, необходимых для профессиональной деятельности в сфере закупок, и (или) повышение профессионального уровня в рамках имеющейся квалификации в сфере закупок.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Содержание Программ должно учитывать профессиональные стандарты в сфере закупок.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0"/>
      <w:bookmarkEnd w:id="7"/>
      <w:r>
        <w:rPr>
          <w:rFonts w:ascii="Calibri" w:hAnsi="Calibri" w:cs="Calibri"/>
        </w:rPr>
        <w:t xml:space="preserve">3.3. Рекомендуемый минимально необходимый объем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каждой дисциплине Программ, за исключением Программ, реализуемых в соответствии с </w:t>
      </w:r>
      <w:hyperlink w:anchor="Par54" w:history="1">
        <w:r>
          <w:rPr>
            <w:rFonts w:ascii="Calibri" w:hAnsi="Calibri" w:cs="Calibri"/>
            <w:color w:val="0000FF"/>
          </w:rPr>
          <w:t>пунктом 2.4</w:t>
        </w:r>
      </w:hyperlink>
      <w:r>
        <w:rPr>
          <w:rFonts w:ascii="Calibri" w:hAnsi="Calibri" w:cs="Calibri"/>
        </w:rPr>
        <w:t xml:space="preserve"> настоящих Методических рекомендаций, представлен в таблице 1.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alibri" w:hAnsi="Calibri" w:cs="Calibri"/>
        </w:rPr>
      </w:pPr>
      <w:bookmarkStart w:id="8" w:name="Par72"/>
      <w:bookmarkEnd w:id="8"/>
      <w:r>
        <w:rPr>
          <w:rFonts w:ascii="Calibri" w:hAnsi="Calibri" w:cs="Calibri"/>
        </w:rPr>
        <w:t xml:space="preserve">Таблица 1 - Минимально необходимый объем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каждой дисциплине Программ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alibri" w:hAnsi="Calibri" w:cs="Calibri"/>
        </w:rPr>
        <w:sectPr w:rsidR="00CD0AE3" w:rsidSect="00CF79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7120"/>
        <w:gridCol w:w="1597"/>
      </w:tblGrid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дисциплин и их основные темы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часов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контрактной системы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Цели, задачи и принципы контрактной системы. Участники контрактной системы, их права и обязанности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Контрактная служба. Контрактные управляющие. Комиссия по осуществлению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Информационное обеспечение контрактной системы в сфере закупок. Порядок организации электронного документооборота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Нормативные правовые акты, принятые в развитие законодательства, регулирующего закупки товаров, работ, услуг для государственных и муниципальных нужд. Применение антимонопольного законодательства при осуществлении закупок товаров, работ и услуг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Планирование и обоснование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Планирование и обоснование закупок. Централизованные закупки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Понятие начальной (максимальной) цены контракта, ее назначение, методы определения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Способы определения поставщиков (подрядчиков, исполнителей): общая </w:t>
            </w:r>
            <w:r>
              <w:rPr>
                <w:rFonts w:ascii="Calibri" w:hAnsi="Calibri" w:cs="Calibri"/>
              </w:rPr>
              <w:lastRenderedPageBreak/>
              <w:t>характеристика способов, основные правила выбора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Порядок осуществления закупок путем проведения аукциона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4.7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Порядок осуществления закупок способом запроса котировок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4.8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Порядок осуществления закупок способом запроса предложений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4.9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4.10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отдельных видов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Контракты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Порядок заключения, исполнения, изменения и расторжения контрактов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Мониторинг, контроль, аудит и защита прав и интересов участников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6.2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Итоговая аттестация: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8.1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Экзамен (тестирование) и/или защита итоговой работы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</w:tr>
    </w:tbl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Рекомендуемый минимально необходимый объем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каждой дисциплине Программ, реализуемых в соответствии с </w:t>
      </w:r>
      <w:hyperlink w:anchor="Par54" w:history="1">
        <w:r>
          <w:rPr>
            <w:rFonts w:ascii="Calibri" w:hAnsi="Calibri" w:cs="Calibri"/>
            <w:color w:val="0000FF"/>
          </w:rPr>
          <w:t>пунктом 2.4</w:t>
        </w:r>
      </w:hyperlink>
      <w:r>
        <w:rPr>
          <w:rFonts w:ascii="Calibri" w:hAnsi="Calibri" w:cs="Calibri"/>
        </w:rPr>
        <w:t xml:space="preserve"> настоящих Методических рекомендаций, представлен в таблице 2.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Calibri" w:hAnsi="Calibri" w:cs="Calibri"/>
        </w:rPr>
      </w:pPr>
      <w:bookmarkStart w:id="9" w:name="Par173"/>
      <w:bookmarkEnd w:id="9"/>
      <w:r>
        <w:rPr>
          <w:rFonts w:ascii="Calibri" w:hAnsi="Calibri" w:cs="Calibri"/>
        </w:rPr>
        <w:t xml:space="preserve">Таблица 2 - Минимально необходимый объем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каждой дисциплине Программ для руководителей организаций-заказчиков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7122"/>
        <w:gridCol w:w="1579"/>
      </w:tblGrid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дисциплин и их основные темы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часов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контрактной системы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Цели, задачи и принципы контрактной системы. Участники контрактной системы, их права и обязанности. Контрактная служба. Контрактные управляющие. Комиссия по осуществлению закупок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Нормативные правовые акты, принятые в развитие законодательства, регулирующего закупки товаров, работ, услуг для государственных и муниципальных нужд. Применение антимонопольного законодательства при осуществлении закупок товаров, работ и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Планирование и обоснование закупок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Планирование и обоснование закупок. Централизованные закупки. Понятие начальной (максимальной) цены контракта, ее назначение, методы определения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закупок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определения поставщиков (подрядчиков, исполнителей): общая характеристика способов, основные правила выбора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Контракты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Порядок заключения, исполнения, изменения и расторжения контрактов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Мониторинг, контроль, аудит и защита прав и интересов участников закупок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Мониторинг и аудит в сфере закупок. Общественный контроль и </w:t>
            </w:r>
            <w:r>
              <w:rPr>
                <w:rFonts w:ascii="Calibri" w:hAnsi="Calibri" w:cs="Calibri"/>
              </w:rPr>
              <w:lastRenderedPageBreak/>
              <w:t>общественное обсуждение закупок</w:t>
            </w:r>
          </w:p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Итоговая аттестация: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Экзамен (тестирование)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D0AE3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0AE3" w:rsidRDefault="00CD0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</w:tbl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CD0AE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234"/>
      <w:bookmarkEnd w:id="10"/>
      <w:r>
        <w:rPr>
          <w:rFonts w:ascii="Calibri" w:hAnsi="Calibri" w:cs="Calibri"/>
        </w:rPr>
        <w:t>3.5. Программы могут содержать вариативную часть, предусматривающую специализацию, в том числе по объекту закупки, по способам закупок, по роду деятельности (для руководителей контрактных служб, уполномоченных органов, специалистов органов, уполномоченных на осуществление контроля в сфере закупок, членов комиссий, работников специализированных организаций, экспертов, консультантов и др.), по региональной специфике осуществления закупок. Объем вариативной части не может превышать 15 процентов от общего количества часов реализуемой программы.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1" w:name="Par236"/>
      <w:bookmarkEnd w:id="11"/>
      <w:r>
        <w:rPr>
          <w:rFonts w:ascii="Calibri" w:hAnsi="Calibri" w:cs="Calibri"/>
        </w:rPr>
        <w:t>3.6. Примерное содержание Программ: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2" w:name="Par238"/>
      <w:bookmarkEnd w:id="12"/>
      <w:r>
        <w:rPr>
          <w:rFonts w:ascii="Calibri" w:hAnsi="Calibri" w:cs="Calibri"/>
        </w:rPr>
        <w:t>3.6.1. Основы контрактной системы.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Знакомит слушателей с основными принципами, понятиями и терминами, применяющимися в российской системе закупок для обеспечения государственных и муниципальных нужд; знакомит с системой осуществления закупок в контексте социальных, экономических и политических процессов Российской Федерации; дает представление об основных принципах, заложенных в основу создания контрактной системы в сфере закупок товаров, работ, услуг для обеспечения государственных и муниципальных нужд (далее - контрактная система);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целях и задачах создания и функционирования контрактной системы, информационном обеспечении контрактной системы; рассматривает участников контрактной системы, их права и обязанности, порядок создания, организацию работы, функции контрактной службы (контрактного управляющего), комиссии по осуществлению закупок; знакомит с информационным обеспечением контрактной системы в сфере закупок, единой информационной системой, порядком организации электронного документооборота.</w:t>
      </w:r>
      <w:proofErr w:type="gramEnd"/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3" w:name="Par241"/>
      <w:bookmarkEnd w:id="13"/>
      <w:r>
        <w:rPr>
          <w:rFonts w:ascii="Calibri" w:hAnsi="Calibri" w:cs="Calibri"/>
        </w:rPr>
        <w:t>3.6.2. Законодательство Российской Федерации о контрактной системе в сфере закупок.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Рассматривает действующую российскую нормативную правовую базу в сфере закупок для обеспечения государственных и муниципальных нужд, включая Гражданский </w:t>
      </w:r>
      <w:hyperlink r:id="rId9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Федерации, Бюджетный </w:t>
      </w:r>
      <w:hyperlink r:id="rId10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Федерации,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 постановления и распоряжения Правительства Российской Федерации, нормативные и методические документы Минэкономразвития России и других федеральных органов исполнительной власти, другие нормативные акты, дополняющие законодательство Российской Федерации о контрактной системе; знакомит слушателей с антимонопольным законодательством.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4" w:name="Par244"/>
      <w:bookmarkEnd w:id="14"/>
      <w:r>
        <w:rPr>
          <w:rFonts w:ascii="Calibri" w:hAnsi="Calibri" w:cs="Calibri"/>
        </w:rPr>
        <w:t>3.6.3. Планирование и обоснование закупок.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Знакомит слушателей с понятиями и порядком формирования и изменения планов закупок и планов-графиков закупок для обеспечения государственных и муниципальных нужд; обоснованием закупок; понятием начальной (максимальной) цены контракта, цены контракта, заключаемого с единственным поставщиком (подрядчиком, исполнителем), ее назначением, методами определения.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5" w:name="Par247"/>
      <w:bookmarkEnd w:id="15"/>
      <w:r>
        <w:rPr>
          <w:rFonts w:ascii="Calibri" w:hAnsi="Calibri" w:cs="Calibri"/>
        </w:rPr>
        <w:t>3.6.4. Осуществление закупок.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Определяет основные отличия способов определения поставщика (подрядчика, исполнителя), применяемых для осуществления закупок для государственных и муниципальных нужд, назначение способов закупок; знакомит с общими положениями о конкурентных способах определения поставщика (подрядчика, исполнителя), о закупке у единственного поставщика (подрядчика, исполнителя), разбираются конкретные примеры применения способов определения поставщика (подрядчика, исполнителя), преимущества и недостатки каждого способа;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раскрывает условия допуска к участию в закупках, антидемпинговые механизмы в закупках и правила их применения; знакомит слушателей с участием субъектов малого предпринимательства, социально ориентированных некоммерческих организаций в закупках, учреждений и предприятий уголовно-исполнительной системы в закупках, участие организаций </w:t>
      </w:r>
      <w:r>
        <w:rPr>
          <w:rFonts w:ascii="Calibri" w:hAnsi="Calibri" w:cs="Calibri"/>
        </w:rPr>
        <w:lastRenderedPageBreak/>
        <w:t>инвалидов в закупках; знакомит слушателей с правилами описания объекта закупки, порядком составления технического задания;</w:t>
      </w:r>
      <w:proofErr w:type="gramEnd"/>
      <w:r>
        <w:rPr>
          <w:rFonts w:ascii="Calibri" w:hAnsi="Calibri" w:cs="Calibri"/>
        </w:rPr>
        <w:t xml:space="preserve"> знакомит слушателей с порядком проведения способов определения поставщиков (подрядчиков, исполнителей); освещает документооборот по закупкам; знакомит слушателей с особенностями отдельных видов закупок (НИР, НИОКР, строительный подряд, лекарственные средства, компьютерная техника, продукты питания), знакомит с особенностями составления технических требований и спецификаций на указанную продукцию; знакомит с особенностями заключения энергосервисных контрактов.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6" w:name="Par250"/>
      <w:bookmarkEnd w:id="16"/>
      <w:r>
        <w:rPr>
          <w:rFonts w:ascii="Calibri" w:hAnsi="Calibri" w:cs="Calibri"/>
        </w:rPr>
        <w:t>3.6.5. Контракты.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Знакомит слушателей с основным понятийным аппаратом, структурой контрактов, опытом их заключения; </w:t>
      </w:r>
      <w:proofErr w:type="gramStart"/>
      <w:r>
        <w:rPr>
          <w:rFonts w:ascii="Calibri" w:hAnsi="Calibri" w:cs="Calibri"/>
        </w:rPr>
        <w:t>дает знания об основных терминах и определениях при составлении контракта, особенностях государственного контракта как вида договора, терминологии условий поставок, цене контракта и условиях платежа, изменениях, внесенных в контракт, расторжении контракта, сроках, условиях вступления контракта в силу, ответственности сторон, экспертизе и приемке продукции, обеспечении исполнения контрактов, рассмотрении споров, обстоятельствах непреодолимой силы, о структуре контракта, о порядке ведения реестра контрактов.</w:t>
      </w:r>
      <w:proofErr w:type="gramEnd"/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7" w:name="Par253"/>
      <w:bookmarkEnd w:id="17"/>
      <w:r>
        <w:rPr>
          <w:rFonts w:ascii="Calibri" w:hAnsi="Calibri" w:cs="Calibri"/>
        </w:rPr>
        <w:t>3.6.6. Мониторинг, контроль, аудит и защита прав и интересов участников закупок.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Рассматривает вопросы мониторинга, аудита и контроля в сфере закупок, дает оценку обоснованности и эффективности закупок; раскрывает способы защиты прав и законных интересов участников процедуры закупки; рассматривает порядок обжалования действий (бездействия) заказчика, уполномоченного органа,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торговой площадки при осуществлении закупок.</w:t>
      </w:r>
      <w:proofErr w:type="gramEnd"/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8" w:name="Par256"/>
      <w:bookmarkEnd w:id="18"/>
      <w:r>
        <w:rPr>
          <w:rFonts w:ascii="Calibri" w:hAnsi="Calibri" w:cs="Calibri"/>
        </w:rPr>
        <w:t>4. Требования к итоговой аттестации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Освоение Программ завершается итоговой аттестацией, которая направлена на определение теоретической и практической подготовленности обучающихся к выполнению профессиональных задач в сфере закупок.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Рекомендуется предусматривать итоговую аттестацию в форме экзамена (тестирование) и (или) защиты итоговой работы, за исключением Программ, реализуемых в соответствии с </w:t>
      </w:r>
      <w:hyperlink w:anchor="Par54" w:history="1">
        <w:r>
          <w:rPr>
            <w:rFonts w:ascii="Calibri" w:hAnsi="Calibri" w:cs="Calibri"/>
            <w:color w:val="0000FF"/>
          </w:rPr>
          <w:t>пунктом 2.4</w:t>
        </w:r>
      </w:hyperlink>
      <w:r>
        <w:rPr>
          <w:rFonts w:ascii="Calibri" w:hAnsi="Calibri" w:cs="Calibri"/>
        </w:rPr>
        <w:t xml:space="preserve"> настоящих Методических рекомендаций. Для Программ, предусмотренных </w:t>
      </w:r>
      <w:hyperlink w:anchor="Par54" w:history="1">
        <w:r>
          <w:rPr>
            <w:rFonts w:ascii="Calibri" w:hAnsi="Calibri" w:cs="Calibri"/>
            <w:color w:val="0000FF"/>
          </w:rPr>
          <w:t>пунктом 2.4</w:t>
        </w:r>
      </w:hyperlink>
      <w:r>
        <w:rPr>
          <w:rFonts w:ascii="Calibri" w:hAnsi="Calibri" w:cs="Calibri"/>
        </w:rPr>
        <w:t xml:space="preserve"> настоящих Методических рекомендаций, рекомендуется предусматривать итоговую аттестацию в форме экзамена (тестирование).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Лицам, успешно прошедшим итоговую аттестацию, выдаются удостоверения о повышении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целях упрощения процесса подтверждения подлинности документов о квалификации работодателями, кадровыми службами и др., экономии бюджетов образовательных организаций, повышения имиджа дополнительного профессионального образования в условиях рамочной регламентации образовательной деятельности в сфере дополнительного профессионального образования рекомендуется изготавливать удостоверения о повышении квалификации на бланках, являющихся защищенными от подделок полиграфической продукцией, изготавливаемой в соответствии с техническими требованиями и условиями изготовления защищенной полиграфической продукции.</w:t>
      </w:r>
      <w:proofErr w:type="gramEnd"/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Требования к содержанию, объему и структуре итоговых работ определяются организацией, осуществляющей образовательную деятельность.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264"/>
      <w:bookmarkEnd w:id="19"/>
      <w:r>
        <w:rPr>
          <w:rFonts w:ascii="Calibri" w:hAnsi="Calibri" w:cs="Calibri"/>
        </w:rPr>
        <w:t>5. Требования к условиям реализации Программы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Организациям, осуществляющей образовательную деятельность, рекомендуется проводить внутренний мониторинг качества реализации дополнительных профессиональных программ и их результатов.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5.2. Для проведения занятий по Программам рекомендуется привлекать специалистов, прошедших дополнительное профессиональное образование в сфере закупок и (или) имеющих практический опыт в сфере закупок.</w:t>
      </w:r>
    </w:p>
    <w:p w:rsidR="00CD0AE3" w:rsidRDefault="00CD0AE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CD0AE3" w:rsidRDefault="00CD0AE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Организациям, реализующим Программы, рекомендуется обеспечить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учебно-методическими материалами, необходимыми для освоения Программы (учебные пособия, дидактические и методические материалы, презентации и др. в печатном и (или) электронном виде).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Организациям, реализующим Программы, в процессе обучения и в течение не менее трех месяцев после завершения обучения рекомендуется обеспечить консультационную поддержку слушателя по вопросам, связанным с практическим применением полученных знаний в процессе решения профессиональных задач при осуществлении закупок.</w:t>
      </w: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D0AE3" w:rsidRDefault="00CD0AE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11B43" w:rsidRDefault="00111B43">
      <w:bookmarkStart w:id="20" w:name="_GoBack"/>
      <w:bookmarkEnd w:id="20"/>
    </w:p>
    <w:sectPr w:rsidR="00111B43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E3"/>
    <w:rsid w:val="00111B43"/>
    <w:rsid w:val="00C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E879A9FD9D101FED3932D9B5C902CC28AE167A1113AB0AED53EDB49CDBD975A20CFE97F9D90CD9eEDC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E879A9FD9D101FED3932D9B5C902CC28AE167A1113AB0AED53EDB49CDBD975A20CFE97F9D90CD9eEDE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E879A9FD9D101FED3932D9B5C902CC28AE167A1113AB0AED53EDB49CDBD975A20CFE97F9D90CD9eEDEG" TargetMode="External"/><Relationship Id="rId11" Type="http://schemas.openxmlformats.org/officeDocument/2006/relationships/hyperlink" Target="consultantplus://offline/ref=96E879A9FD9D101FED3932D9B5C902CC28AE167A1113AB0AED53EDB49CDBD975A20CFE97F9D90CD9eEDC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96E879A9FD9D101FED3932D9B5C902CC28AE127C1614AB0AED53EDB49CeDD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E879A9FD9D101FED3932D9B5C902CC28AE167A1011AB0AED53EDB49CeDD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3190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2015-04-27T06:03:00Z</dcterms:created>
  <dcterms:modified xsi:type="dcterms:W3CDTF">2015-04-27T06:04:00Z</dcterms:modified>
</cp:coreProperties>
</file>